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  <w:r w:rsidRPr="00B36E92">
        <w:rPr>
          <w:rFonts w:ascii="Times New Roman" w:hAnsi="Times New Roman" w:cs="Times New Roman"/>
          <w:sz w:val="28"/>
          <w:szCs w:val="28"/>
        </w:rPr>
        <w:t>УЗ «Витебский областной клинический специализированный центр»</w:t>
      </w: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Pr="00B36E92" w:rsidRDefault="004726FF" w:rsidP="004726F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6E92">
        <w:rPr>
          <w:rFonts w:ascii="Times New Roman" w:hAnsi="Times New Roman" w:cs="Times New Roman"/>
          <w:b/>
          <w:sz w:val="52"/>
          <w:szCs w:val="52"/>
        </w:rPr>
        <w:t>Лекция на тему:</w:t>
      </w:r>
    </w:p>
    <w:p w:rsidR="004726FF" w:rsidRDefault="00116C57" w:rsidP="00786EB2">
      <w:pPr>
        <w:jc w:val="center"/>
      </w:pPr>
      <w:r w:rsidRPr="00116C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Профилактика сердечно - сосудистых заболеваний.</w:t>
      </w:r>
      <w:bookmarkStart w:id="0" w:name="_GoBack"/>
      <w:bookmarkEnd w:id="0"/>
      <w:r w:rsidR="00786EB2" w:rsidRPr="00786E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4726FF" w:rsidRDefault="004726FF" w:rsidP="004726FF"/>
    <w:p w:rsidR="004726FF" w:rsidRDefault="004726FF" w:rsidP="004726FF"/>
    <w:p w:rsidR="004726FF" w:rsidRDefault="004726FF" w:rsidP="004726FF"/>
    <w:p w:rsidR="004726FF" w:rsidRDefault="004726FF" w:rsidP="004726FF"/>
    <w:p w:rsidR="004726FF" w:rsidRDefault="004726FF" w:rsidP="004726FF"/>
    <w:p w:rsidR="004726FF" w:rsidRDefault="004726FF" w:rsidP="004726FF"/>
    <w:p w:rsidR="004726FF" w:rsidRDefault="004726FF" w:rsidP="004726FF"/>
    <w:p w:rsidR="00756C0D" w:rsidRDefault="00756C0D" w:rsidP="004726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6C57" w:rsidRPr="00116C57" w:rsidRDefault="00116C57" w:rsidP="0011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Профилактика сердечно - сосудистых заболеваний.</w:t>
      </w:r>
    </w:p>
    <w:p w:rsidR="00116C57" w:rsidRPr="00116C57" w:rsidRDefault="00116C57" w:rsidP="00116C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наблюдается прекращение роста и даже некоторое снижение смертности населения России, однако в целом ее уровень продолжает оставаться одним из самых высоких в Европе и все еще значительно превосходит уровень смертности в России начала 90-х годов. </w:t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6C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Особую тревогу вызывает рост преждевременной смертности среди населения трудоспособного возраста.</w:t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Отмечается существенное увеличение смертности от сердечно-сосудистых заболеваний (ССЗ), доля которых в структуре преждевременной смертности увеличилась у мужчин с 53 до 61%, а у женщин с 61 до 70%. По оценке специалистов, основной причиной столь значительного роста этих показателей остаются ишемическая болезнь сердца (ИБС) и нарушения мозгового кровообращения. Положительных изменений создавшейся ситуации можно ожидать только при активизации системы профилактики заболеваний и укрепления здоровья. </w:t>
      </w:r>
    </w:p>
    <w:p w:rsidR="00116C57" w:rsidRPr="00116C57" w:rsidRDefault="00116C57" w:rsidP="00116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медицинской профилактики заболеваний</w:t>
      </w:r>
    </w:p>
    <w:p w:rsidR="00116C57" w:rsidRPr="00116C57" w:rsidRDefault="00116C57" w:rsidP="00116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комплексе государственных и медицинских мероприятий, направленных на первичную профилактику ССЗ, следует особо выделить компонент, тесно зависящий от мероприятий медицинского характера.</w:t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Следует отличать медицинское профилактическое вмешательство при проведении комплекса мер по первичной профилактике от лечебных мероприятий, </w:t>
      </w:r>
      <w:r w:rsidRPr="00116C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необходимо максимально привлечь внимание "больного" к своему здоровью, не развив у него страха перед болезнью.</w:t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Медикаментозная профилактика сердечно-сосудистых заболеваний проводится обычно в дополнение к максимально возможному количеству немедикаментозных мероприятий. Как правило, под медикаментозной профилактикой понимают: </w:t>
      </w:r>
    </w:p>
    <w:p w:rsidR="00116C57" w:rsidRPr="00116C57" w:rsidRDefault="00116C57" w:rsidP="00116C5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Гипотензивную терапию (применение препаратов, направленных на достижение целевых (оптимальных) значений артериального давления - коррекция артериальной гипертензии);</w:t>
      </w:r>
    </w:p>
    <w:p w:rsidR="00116C57" w:rsidRPr="00116C57" w:rsidRDefault="00116C57" w:rsidP="00116C5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Гиполипидемическую терапию (снижение уровня общего холестерина крови и его фракций в случае увеличения их количества - коррекция гиперхолистеринемии);</w:t>
      </w:r>
    </w:p>
    <w:p w:rsidR="00116C57" w:rsidRPr="00116C57" w:rsidRDefault="00116C57" w:rsidP="00116C5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Антиагрегантную и антикоагулянтную терапию (применение средств, направленных на уменьшение риска тромбоэмболических осложнений у лиц с высоким риском последних);</w:t>
      </w:r>
    </w:p>
    <w:p w:rsidR="00116C57" w:rsidRPr="00116C57" w:rsidRDefault="00116C57" w:rsidP="00116C5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Антиишемическую терапию (направленную на улучшение кровоснабжения и процессов обмена в сердечной мышце, в зонах риска развития повреждения, в том числе повторного);</w:t>
      </w:r>
    </w:p>
    <w:p w:rsidR="00116C57" w:rsidRPr="00116C57" w:rsidRDefault="00116C57" w:rsidP="00116C5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Гипогликемическую терапию (направленную на снижение до целевых значений и контроль за состоянием углеводного обмена).</w:t>
      </w:r>
    </w:p>
    <w:p w:rsidR="00116C57" w:rsidRPr="00116C57" w:rsidRDefault="00116C57" w:rsidP="00116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Немедикаментозная профилактика сердечно-сосудистых заболеваний является первым этапом любых профилактических мероприятий. В англоязычной литературе синонимы немедикаментозной профилактики - "изменение жизненных привычек", "изменение стиля жизни": </w:t>
      </w:r>
    </w:p>
    <w:p w:rsidR="00116C57" w:rsidRPr="00116C57" w:rsidRDefault="00116C57" w:rsidP="00116C5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отказ от курения;</w:t>
      </w:r>
    </w:p>
    <w:p w:rsidR="00116C57" w:rsidRPr="00116C57" w:rsidRDefault="00116C57" w:rsidP="00116C5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избыточного веса;</w:t>
      </w:r>
    </w:p>
    <w:p w:rsidR="00116C57" w:rsidRPr="00116C57" w:rsidRDefault="00116C57" w:rsidP="00116C5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Диета;</w:t>
      </w:r>
    </w:p>
    <w:p w:rsidR="00116C57" w:rsidRPr="00116C57" w:rsidRDefault="00116C57" w:rsidP="00116C5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физической активности за счет динамических нагрузок;</w:t>
      </w:r>
    </w:p>
    <w:p w:rsidR="00116C57" w:rsidRPr="00116C57" w:rsidRDefault="00116C57" w:rsidP="00116C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Каждый из перечисленных видов медикаментозного лечения имеет свои строгие показания и противопоказания и должен назначаться в рамках разработанных алгоритмов, но вместе с тем строго индивидуально. Только такой подход обеспечит ожидаемую эффективность профилактики сердечно-сосудистых заболеваний и их осложнений. Например, гипотензивные препараты назначают только при артериальной гипертонии, антиишемическую - только при доказанной ИБС. </w:t>
      </w:r>
    </w:p>
    <w:p w:rsidR="00116C57" w:rsidRPr="00116C57" w:rsidRDefault="00116C57" w:rsidP="00116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Необходимый объем медицинских мероприятий по первичной профилактике заболеваний</w:t>
      </w:r>
    </w:p>
    <w:p w:rsidR="00116C57" w:rsidRPr="00116C57" w:rsidRDefault="00116C57" w:rsidP="00116C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6C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Первичная профилактика заболеваний</w:t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весьма сложным делом, как из-за своей трудоемкости, так и в силу неощутимости результата. Доказательством этого могут быть данные, полученные в результате анализа профилактических программ, проведенных в России. Так, в программе многофакторной профилактики ИБС, осуществлявшейся в Москве на базе одной из территориальных поликлиник в течение пяти лет, было показано, что эффективность коррекции факторов риска у лиц, не имевших симптомов основных ССЗ (в частности ИБС), в отношении смертности от этих заболеваний обнаруживается только на четвертом-пятом году . Вместе с тем в том же исследовании было показано, что снижение смертности от ССЗ наблюдалось только у тех лиц, у кого удалось снизить уровни основных факторов риска: убедить бросить курить, нормализовать артериальное давление и уровень общего холестерина (ХС), снизить уровень холестерина липопротеидов низкой плотности (ХС ЛНП) и др. То есть коррекция факторов риска под влиянием комплекса медицинских мероприятий по первичной профилактике сопровождалась и снижением смертности в этой группе населения. </w:t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Наиболее полное выявление больных и лиц с факторами риска, конечно, возможно только при профилактических обследованиях населения. Благодаря этим мероприятиям уже на доврачебном этапе с помощью краткого опроса о привычках, а также при измерении артериального давления, роста и массы тела можно выявить лиц с тремя основными факторами риска. </w:t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Проведение, кроме того, дополнительных методов обследования, таких как исследования крови на содержание липидов (как минимум общего ХС, а наиболее целесообразно - ХС-ЛВП и триглицеридов), позволит более полно выявить группы риска по развитию ССЗ. </w:t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данным массовых профилактических обследований трудоспособного населения установлено, что только около 1/5 взрослого населения не имеют факторов риска. </w:t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Более половины (56%) населения трудоспособного возраста имеет те или иные факторы риска, причем у половины лиц этой группы факторы риска встречаются в разнообразных сочетаниях, в результате чего суммарный риск заболевания значительно увеличивается. Эта категория людей нуждается не только в общих сведениях по здоровому образу жизни, но и в индивидуальных советах врача. </w:t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Значение первичной профилактики заболеваний возрастает у лиц с наследственной предрасположенностью к наследственным неинфекционным заболеваниям, особенно у тех, кто имеет факторы риска. </w:t>
      </w:r>
    </w:p>
    <w:p w:rsidR="00116C57" w:rsidRPr="00116C57" w:rsidRDefault="00116C57" w:rsidP="00116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Артериальная гипертензия.</w:t>
      </w:r>
    </w:p>
    <w:p w:rsidR="00116C57" w:rsidRPr="00116C57" w:rsidRDefault="00116C57" w:rsidP="00116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ВОЗ содержат детальное разделение по уровням АД: </w:t>
      </w:r>
    </w:p>
    <w:p w:rsidR="00116C57" w:rsidRPr="00116C57" w:rsidRDefault="00116C57" w:rsidP="00116C5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нормальное АД - систолическое АД (САД) ниже 140 и/или диастолическое АД (ДАД) ниже 90 мм рт. ст.;</w:t>
      </w:r>
    </w:p>
    <w:p w:rsidR="00116C57" w:rsidRPr="00116C57" w:rsidRDefault="00116C57" w:rsidP="00116C5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оптимальное АД - САД 120/80 мм рт. ст.;</w:t>
      </w:r>
    </w:p>
    <w:p w:rsidR="00116C57" w:rsidRPr="00116C57" w:rsidRDefault="00116C57" w:rsidP="00116C5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 нормальное АД - САД 140-160 и/или ДАД 90-95 мм рт. ст.;</w:t>
      </w:r>
    </w:p>
    <w:p w:rsidR="00116C57" w:rsidRPr="00116C57" w:rsidRDefault="00116C57" w:rsidP="00116C5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умеренная и тяжелая АГ - САД выше 180 и/или ДАД выше 105 мм рт. ст.;</w:t>
      </w:r>
    </w:p>
    <w:p w:rsidR="00116C57" w:rsidRPr="00116C57" w:rsidRDefault="00116C57" w:rsidP="00116C5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изолированная систолическая АГ - САД выше 140 и ДАД ниже 90 мм рт. ст.;</w:t>
      </w:r>
    </w:p>
    <w:p w:rsidR="00116C57" w:rsidRPr="00116C57" w:rsidRDefault="00116C57" w:rsidP="00116C5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пограничная изолированная АГ - САД 140-160 и ДАД ниже 90 мм рт. ст.</w:t>
      </w:r>
    </w:p>
    <w:p w:rsidR="00116C57" w:rsidRPr="00116C57" w:rsidRDefault="00116C57" w:rsidP="00116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Какими должны быть конкретные мероприятия по первичной профилактике заболеваний и укреплению?</w:t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уже отмечалось, риск развития ИБС возрастает пропорционально количеству факторов риска, но среди нескольких десятков выделяют три основных фактора риска: артериальную гипертензию, курение и гиперхолестеринемию (нарушение липидного обмена). Особое место занимает артериальная гипертензия, имеющая значение не только как фактор риска при ИБС, но и как самостоятельное патологическое состояние, опасное для жизни. </w:t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Исходя из рекомендаций рабочей группы Европейского общества кардиологов, общества по борьбе с атеросклерозом и гипертонией, по отношению к значению АД следует придерживаться дифференцированной тактики: </w:t>
      </w:r>
    </w:p>
    <w:p w:rsidR="00116C57" w:rsidRPr="00116C57" w:rsidRDefault="00116C57" w:rsidP="00116C5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первом измерении уровень АД ниже 140/90 мм рт. ст., то в случае высокого суммарного риска ССЗ рекомендуется повторять измерение АД один раз в год; при низком суммарном риске ССЗ - повторять измерение АД один раз в три года;</w:t>
      </w:r>
    </w:p>
    <w:p w:rsidR="00116C57" w:rsidRPr="00116C57" w:rsidRDefault="00116C57" w:rsidP="00116C5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двух измерениях уровень АД достигает 140-180 и/или 90-105 мм рт. ст. - повторять измерения, по крайней мере, дважды в течение четырех недель. При сохранении такого же уровня артериального давления проводить лечение немедикаментозными методами. При безуспешности этих мер в течение первых трех месяцев - начать лечение медикаментами.</w:t>
      </w:r>
    </w:p>
    <w:p w:rsidR="00116C57" w:rsidRPr="00116C57" w:rsidRDefault="00116C57" w:rsidP="00116C5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двух измерениях, проведенных в разное время, АД достигает 180 и/или 105 мм рт. ст. и выше, следует начать лечение как лекарственными, так и немедикаментозными методами.</w:t>
      </w:r>
    </w:p>
    <w:p w:rsidR="00116C57" w:rsidRPr="00116C57" w:rsidRDefault="00116C57" w:rsidP="00116C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Больным среднего возраста, у которых при профилактическом обследовании обнаружена АГ, в большинстве случаев удается доступными в поликлинике методами поставить диагноз, причем у лиц старше 40 лет в подавляющем большинстве причиной повышения АД оказывается гипертоническая болезнь (например, у мужчин 40-59 лет причиной повышения АД в 86% была гипертоническая болезнь, в 7% - симптоматическая АГ).</w:t>
      </w:r>
    </w:p>
    <w:tbl>
      <w:tblPr>
        <w:tblW w:w="4000" w:type="pct"/>
        <w:jc w:val="center"/>
        <w:tblCellSpacing w:w="0" w:type="dxa"/>
        <w:tblCellMar>
          <w:top w:w="75" w:type="dxa"/>
          <w:left w:w="75" w:type="dxa"/>
          <w:bottom w:w="75" w:type="dxa"/>
          <w:right w:w="300" w:type="dxa"/>
        </w:tblCellMar>
        <w:tblLook w:val="04A0" w:firstRow="1" w:lastRow="0" w:firstColumn="1" w:lastColumn="0" w:noHBand="0" w:noVBand="1"/>
      </w:tblPr>
      <w:tblGrid>
        <w:gridCol w:w="7784"/>
      </w:tblGrid>
      <w:tr w:rsidR="00116C57" w:rsidRPr="00116C57" w:rsidTr="00116C5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6C57" w:rsidRPr="00116C57" w:rsidRDefault="00116C57" w:rsidP="0011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Профилактическое вмешательство требуется начинать:</w:t>
            </w:r>
          </w:p>
          <w:p w:rsidR="00116C57" w:rsidRPr="00116C57" w:rsidRDefault="00116C57" w:rsidP="00116C57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даже однократно артериальное давление достигает 160/95 мм рт. ст. и выше, или обнаруживается наличие в анамнезе артериальной гипертонии у лиц, принимающих в момент обследования гипотензивные препараты вне зависимости от регистрируемого уровня АД</w:t>
            </w:r>
          </w:p>
          <w:p w:rsidR="00116C57" w:rsidRPr="00116C57" w:rsidRDefault="00116C57" w:rsidP="00116C57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индекс массы тела Кетле равен 29,9 и более (Индекс массы тела (ИМТ) = масса тела (кг) / рост (м) 2 , 18,5 - 24,9 - норма, 25 - 29,9 - предожирение, свыше 30,0 - ожирение)</w:t>
            </w:r>
          </w:p>
          <w:p w:rsidR="00116C57" w:rsidRPr="00116C57" w:rsidRDefault="00116C57" w:rsidP="00116C57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уровень общего ХС крови натощак составляет 250 мг/дл </w:t>
            </w:r>
            <w:r w:rsidRPr="001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6,5 ммоль/л и более; уровень триглицеридов (ТГ) достигает 200 мг/дл или 2,3 ммоль/л и более; уровень ХС ЛВП падает до 39 мг/дл или 1 ммоль/л и ниже у мужчин и 43 мг/дл или 1,1 ммоль/л и ниже у женщин</w:t>
            </w:r>
          </w:p>
          <w:p w:rsidR="00116C57" w:rsidRPr="00116C57" w:rsidRDefault="00116C57" w:rsidP="00116C57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регулярном курении даже по одной сигарете в сутки</w:t>
            </w:r>
          </w:p>
          <w:p w:rsidR="00116C57" w:rsidRPr="00116C57" w:rsidRDefault="00116C57" w:rsidP="00116C57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низкой физической активности - то есть когда более половины рабочего времени проводится сидя, а на досуге ходьба, подъем тяжестей и т. п. занимают менее 10 часов в неделю</w:t>
            </w:r>
          </w:p>
        </w:tc>
      </w:tr>
    </w:tbl>
    <w:p w:rsidR="00116C57" w:rsidRPr="00116C57" w:rsidRDefault="00116C57" w:rsidP="00116C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У больных с АГ в три раза чаще, чем среди здоровых, встречается избыточная масса тела, в два раза - дислипопротеинемия (гиперлипидемия)</w:t>
      </w:r>
    </w:p>
    <w:p w:rsidR="00116C57" w:rsidRPr="00116C57" w:rsidRDefault="00116C57" w:rsidP="00116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Гиперхолестеринемия</w:t>
      </w:r>
    </w:p>
    <w:p w:rsidR="00116C57" w:rsidRPr="00116C57" w:rsidRDefault="00116C57" w:rsidP="00116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уровню гиперхолестеринемия делится на: </w:t>
      </w:r>
    </w:p>
    <w:p w:rsidR="00116C57" w:rsidRPr="00116C57" w:rsidRDefault="00116C57" w:rsidP="00116C5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легкую - 5-6,5 ммоль/л;</w:t>
      </w:r>
    </w:p>
    <w:p w:rsidR="00116C57" w:rsidRPr="00116C57" w:rsidRDefault="00116C57" w:rsidP="00116C5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умеренную - 6,5-8 ммоль/л;</w:t>
      </w:r>
    </w:p>
    <w:p w:rsidR="00116C57" w:rsidRPr="00116C57" w:rsidRDefault="00116C57" w:rsidP="00116C5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выраженную - выше 8 ммоль/л.</w:t>
      </w:r>
    </w:p>
    <w:p w:rsidR="00116C57" w:rsidRPr="00116C57" w:rsidRDefault="00116C57" w:rsidP="00116C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(немедикаментозные методы коррекции изложены ниже в разделе диетотерапии)</w:t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Почти половина больных курит, многие недостаточно физически активны. АГ встречается чаще у лиц, употребляющих алкоголь ежедневно или несколько раз в неделю. </w:t>
      </w:r>
    </w:p>
    <w:p w:rsidR="00116C57" w:rsidRPr="00116C57" w:rsidRDefault="00116C57" w:rsidP="00116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Немедикаментозная профилактика</w:t>
      </w:r>
    </w:p>
    <w:p w:rsidR="00116C57" w:rsidRPr="00116C57" w:rsidRDefault="00116C57" w:rsidP="00116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57" w:rsidRPr="00116C57" w:rsidRDefault="00116C57" w:rsidP="00116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Курение</w:t>
      </w:r>
    </w:p>
    <w:p w:rsidR="00116C57" w:rsidRPr="00116C57" w:rsidRDefault="00116C57" w:rsidP="00116C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распространенным ФАКТОРЫ РИСКА среди трудоспособного населения, особенно среди мужчин, является курение. У курящих, по данным ВОЗ, чаще развиваются сердечно-сосудистые, онкологические (с поражением дыхательной системы), бронхолегочные заболевания. Выраженность патологии, частота осложнений связаны не только с фактом курения, но и с его интенсивностью. По мнению экспертов ВОЗ, нет "неопасных" видов табачных изделий, так как спектр вредных веществ в табачном дыме настолько широк, что меры по уменьшению одного-двух из них (например, с помощью специальных фильтров и др.) в целом не снижают опасность курения. </w:t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Привычка к курению - сложная психосоматическая зависимость, нередко определяемая типами курительного поведения. Врач должен терпеливо, но настойчиво ставить акцент на поиск "альтернативной" замены курения в каждом конкретном случае, вовлекая курильщика в "сотрудничество", постепенно подводя его к мысли о необходимости и реальной возможности прекращения курения. Нужно создать у курильщика положительную мотивацию к отказу от этой привычки и убедить его, что всегда предпочтительнее одномоментный отказ от курения. Рекомендуется научить пациента элементам аутотренинга с введением специальных формул ("Прекратив курение, я подарил себе пять-шесть лет полноценной жизни", "Бросив курить, я почувствовал прилив здоровья" и т. п.). Иногда приходится прибегнуть к седативной и другой симптоматической терапии, а в случаях физиологической зависимости - к специфическому медикаментозному лечению. </w:t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Лекарственная терапия курения условно может быть разделена на аверсионную и заменительную. (Цель первой - выработать отвращение к табаку, для чего используются </w:t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различные вяжущие средства, полоскание рта перед закуриванием сигарет и т. п.) Заместительная терапия позволяет снять симптомы никотиновой абстиненции путем введения в организм веществ, которые по действию на организм сходны с никотином, но лишены его вредных свойств (лобелин, цитизин), или никотина (жевательные резинки "Никоретте", пластыри, пластинки). Вспомогательная терапия (седативные, снотворные и другие психотропные средства, а также рациональная витаминотерапия) назначается для снятия невротических расстройств, нарушений сна и снижения работоспособности, часто сопровождающих отказ от курения. </w:t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Методом выбора при лечении табакокурения в последние годы является рефлексотерапия, которая оказывается весьма эффективной не только в отношении непосредственного отказа от курения, но и для профилактики возврата к курению, что часто наблюдается при краткосрочных методах лечения. </w:t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Большинство курильщиков свое нежелание бросить курить объясняют тем, что опасаются прибавить в весе. Действительно, отказ от курения, постепенная ликвидация симптомов хронической табачной интоксикации сопровождается улучшением вкусовой чувствительности, аппетита, нормализацией секреции пищеварительных желез, что в целом приводит к увеличению приема пищи и, следовательно, прибавке массы тела. Этого нежелательного для многих явления можно избежать, если следовать некоторым несложным диетическим советам: избегать переедания и соблюдать основы рационального питания. Физиологическое равновесие у курильщика восстановится быстрее при употреблении продуктов, содержащих витамин С (шиповник, черная смородина, зеленый лук, капуста, лимоны и др.), витамин В1 (хлеб грубого помола, крупы), витамин В12 (зеленый горошек, апельсины, дыни), витамин РР (фасоль, крупы, дрожжи, капуста, молочные продукты, картофель), витамин А (овощи, особенно морковь), витамин Е (хлеб грубого помола, растительное масло, зеленые овощи, зародыши пшеницы). Никотиновую зависимость, сопровождающуюся, как правило, "закислением" внутренней среды организма, уменьшает щелочное питье - минеральные воды, соки, овощные отвары. </w:t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 внимательно следует относиться к жалобам, появляющимся сразу после отказа от курения, чтобы вовремя прервать формирование у пациента причинно-следственной связи своего состояния с отказом от курения и убрать повод к возврату этой вредной привычки. Это касается в первую очередь развития невротических расстройств, явлений абстиненции, нежелательной прибавки в весе. </w:t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ряда курильщиков, особенно с большим стажем, в первое время после прекращения курения усиливается кашель с отделением мокроты. Нужно объяснить пациенту, что это - естественный процесс, и назначить отхаркивающие средства и щелочное питье. </w:t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Следует рекомендовать пациенту избегать ситуаций, провоцирующих курение. Психологическая поддержка окружающих, одобрительное отношение к некурению способствуют закреплению отказа от этой вредной привычки. </w:t>
      </w:r>
    </w:p>
    <w:p w:rsidR="00116C57" w:rsidRPr="00116C57" w:rsidRDefault="00116C57" w:rsidP="00116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Снижение избыточного веса</w:t>
      </w:r>
    </w:p>
    <w:p w:rsidR="00116C57" w:rsidRPr="00116C57" w:rsidRDefault="00116C57" w:rsidP="00116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57" w:rsidRPr="00116C57" w:rsidRDefault="00116C57" w:rsidP="00116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Диета (в том числе, направленная на снижение холестерина крови)</w:t>
      </w:r>
    </w:p>
    <w:p w:rsidR="00116C57" w:rsidRPr="00116C57" w:rsidRDefault="00116C57" w:rsidP="00116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Избыточная масса тела, нарушения липидного обмена, как правило, тесно связаны с неправильными привычками и характером питания, поэтому их коррекция предполагает прежде всего комплекс диетических рекомендаций, в основе которого лежит принцип рационального питания. У лиц, не контролирующих калораж своего пищевого рациона, </w:t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увеличивающих потребление животных жиров, углеводов, в два-три раза чаще развивается избыточная масса тела. </w:t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Наиболее распространенным подходом к снижению массы тела является назначение низкокалорийных, сбалансированных по основным пищевым веществам диет. Степень редукции калорийности зависит от избыточности массы тела. Пациенты с избыточной массой тела, когда еще нет клинической формы ожирения, уже нуждаются в квалифицированных диетических рекомендациях с использованием психотерапевтических подходов, так как чаще всего эти лица не имеют достаточной мотивации к снижению веса. Для людей с выраженной избыточной массой тела (индекс 29,9 и более) наибольшее значение имеет улучшение самочувствия при похудении. </w:t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Принципы диетотерапии </w:t>
      </w:r>
    </w:p>
    <w:p w:rsidR="00116C57" w:rsidRPr="00116C57" w:rsidRDefault="00116C57" w:rsidP="00116C5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калорийности питания. Успешное уменьшение массы тела отмечается при условии соблюдения диеты - когда расход энергии за сутки больше количества калорий, полученных с пищей.</w:t>
      </w:r>
    </w:p>
    <w:p w:rsidR="00116C57" w:rsidRPr="00116C57" w:rsidRDefault="00116C57" w:rsidP="00116C5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в рационе углеводов и жиров, особенно животного происхождения.</w:t>
      </w:r>
    </w:p>
    <w:p w:rsidR="00116C57" w:rsidRPr="00116C57" w:rsidRDefault="00116C57" w:rsidP="00116C5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пищи до 18.00.</w:t>
      </w:r>
    </w:p>
    <w:p w:rsidR="00116C57" w:rsidRPr="00116C57" w:rsidRDefault="00116C57" w:rsidP="00116C5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Дробное питание (3-4 раза в день, маленькими порциями, принимать пищу следует медленно).</w:t>
      </w:r>
    </w:p>
    <w:p w:rsidR="00116C57" w:rsidRPr="00116C57" w:rsidRDefault="00116C57" w:rsidP="00116C5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необходимо соблюдать всем членам семьи.</w:t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Голодание - неприемлемый метод лечения ожирения!</w:t>
      </w:r>
    </w:p>
    <w:tbl>
      <w:tblPr>
        <w:tblW w:w="4000" w:type="pct"/>
        <w:jc w:val="center"/>
        <w:tblCellSpacing w:w="0" w:type="dxa"/>
        <w:tblCellMar>
          <w:top w:w="75" w:type="dxa"/>
          <w:left w:w="300" w:type="dxa"/>
          <w:bottom w:w="75" w:type="dxa"/>
          <w:right w:w="300" w:type="dxa"/>
        </w:tblCellMar>
        <w:tblLook w:val="04A0" w:firstRow="1" w:lastRow="0" w:firstColumn="1" w:lastColumn="0" w:noHBand="0" w:noVBand="1"/>
      </w:tblPr>
      <w:tblGrid>
        <w:gridCol w:w="7964"/>
      </w:tblGrid>
      <w:tr w:rsidR="00116C57" w:rsidRPr="00116C57" w:rsidTr="00116C5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6C57" w:rsidRPr="00116C57" w:rsidRDefault="00116C57" w:rsidP="0011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Принципы рационального питания</w:t>
            </w:r>
          </w:p>
          <w:p w:rsidR="00116C57" w:rsidRPr="00116C57" w:rsidRDefault="00116C57" w:rsidP="001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Сбалансированность энергопоступления и энергозатрат организма в соответствии с полом, возрастом, характером труда.</w:t>
            </w:r>
            <w:r w:rsidRPr="001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Регулярное превышение суточной калорийности пищи над энергозатратами на 200 ккал в день приводит к увеличению балластного жира в организме на 10-20 г в день, за год масса тела может увеличиться на 3-7 кг.</w:t>
            </w:r>
            <w:r w:rsidRPr="001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Обеспеченность физиологических потребностей организма в незаменимых пищевых веществах: белках, жирах, углеводах, витаминах, минеральных веществах.</w:t>
            </w:r>
            <w:r w:rsidRPr="001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нормальной жизнедеятельности организма основные пищевые вещества должны содержаться в рационе в следующих пропорциях: белок - 15% от общей калорийности (90-95 г), жир - 35% от общей калорийности (80-100 г), углеводы - 50% от общей калорийности (300-350 г).</w:t>
            </w:r>
          </w:p>
          <w:p w:rsidR="00116C57" w:rsidRPr="00116C57" w:rsidRDefault="00116C57" w:rsidP="0011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питания</w:t>
            </w:r>
          </w:p>
          <w:p w:rsidR="00116C57" w:rsidRPr="00116C57" w:rsidRDefault="00116C57" w:rsidP="001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Желательно принимать пищу не реже четырех-пяти раз в день, распределяя ее по калорийности суточного рациона приблизительно следующим образом: завтрак до работы - 30%, второй завтрак - 20%, обед - 40%, ужин - 10%. Последний прием пищи должен быть не менее чем за два-три часа до сна. Интервал между ужином и завтраком должен быть не более 10 часов </w:t>
            </w:r>
          </w:p>
        </w:tc>
      </w:tr>
    </w:tbl>
    <w:p w:rsidR="00116C57" w:rsidRPr="00116C57" w:rsidRDefault="00116C57" w:rsidP="00116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Редукция калорийности пищевого рациона должна сводиться к снижению потребления углеводов и животных жиров. Суточную калорийность следует ограничить 1800-2000 ккал. </w:t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Лицам с клиническими формами ожирения (индекс массы тела 29,0 и выше) необходима более значительная редукция калорийности: до 1200-1800 ккал в сутки с назначением одного-двух разгрузочных дней (мясных, творожных, яблочных) в неделю. В эти дни следует питаться дробно пять-шесть раз. </w:t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Больным с повышенным уровнем холестерина его фракций и у лиц с риском его повышения (тучных, с нарушением обмена, наследственной предрасположенностью) рационализацию питания следует дополнить следующими рекомендациями: </w:t>
      </w:r>
    </w:p>
    <w:p w:rsidR="00116C57" w:rsidRPr="00116C57" w:rsidRDefault="00116C57" w:rsidP="00116C5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употреблять более трех яичных желтков в неделю, включая желтки, используемые для приготовления пищи;</w:t>
      </w:r>
    </w:p>
    <w:p w:rsidR="00116C57" w:rsidRPr="00116C57" w:rsidRDefault="00116C57" w:rsidP="00116C5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ограничить потребление субпродуктов (печень, почки), икры, креветок; всех видов колбас, жирных окороков, сливочного и топленого масла, жирных сортов молока и молочных продуктов;</w:t>
      </w:r>
    </w:p>
    <w:p w:rsidR="00116C57" w:rsidRPr="00116C57" w:rsidRDefault="00116C57" w:rsidP="00116C5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глубокое прожаривание пищи на животных жирах заменить тушением, варкой, приготовлением на пару, в духовке, перед приготовлением срезать видимый жир с кусков мяса, а с птицы удалить кожу;</w:t>
      </w:r>
    </w:p>
    <w:p w:rsidR="00116C57" w:rsidRPr="00116C57" w:rsidRDefault="00116C57" w:rsidP="00116C5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отдать предпочтение рыбным блюдам, продуктам моря, овощам и фруктам;</w:t>
      </w:r>
    </w:p>
    <w:p w:rsidR="00116C57" w:rsidRPr="00116C57" w:rsidRDefault="00116C57" w:rsidP="00116C5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обезжиренные сорта молочных продуктов, готовить на растительных маслах.</w:t>
      </w:r>
    </w:p>
    <w:p w:rsidR="00116C57" w:rsidRPr="00116C57" w:rsidRDefault="00116C57" w:rsidP="00116C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соблюдение диеты в течение трех-шести месяцев не приводит к снижению уровня общего ХС в крови, рекомендуется лекарственная терапия. В последние годы появились сообщения о том, что гиполипидемическая терапия, способствуя снижению уровня атерогенных фракций липидов крови и уровня общего ХС, приводит к стабилизации атеросклеротических бляшек. </w:t>
      </w:r>
    </w:p>
    <w:p w:rsidR="00116C57" w:rsidRPr="00116C57" w:rsidRDefault="00116C57" w:rsidP="00116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Физическая активность</w:t>
      </w:r>
    </w:p>
    <w:p w:rsidR="00116C57" w:rsidRPr="00116C57" w:rsidRDefault="00116C57" w:rsidP="00116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Доказано, что физически активный досуг предупреждает последствия малоподвижного образа жизни (развитие ожирения, артериальной гипертензии, заболеваний сердечно-сосудистой системы, обменных нарушений). Физическая активность должна сопровождаться положительными психо-эмоциональными установками и не иметь оттенка бремени. Перед началом самостоятельных занятий необходимо провести медицинское обследование в зависимости от возраста больного: </w:t>
      </w:r>
    </w:p>
    <w:p w:rsidR="00116C57" w:rsidRPr="00116C57" w:rsidRDefault="00116C57" w:rsidP="00116C5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30 лет достаточно обычного врачебного осмотра;</w:t>
      </w:r>
    </w:p>
    <w:p w:rsidR="00116C57" w:rsidRPr="00116C57" w:rsidRDefault="00116C57" w:rsidP="00116C5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до 40 лет к осмотру необходимо добавить снятие ЭКГ-покоя;</w:t>
      </w:r>
    </w:p>
    <w:p w:rsidR="00116C57" w:rsidRPr="00116C57" w:rsidRDefault="00116C57" w:rsidP="00116C5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 40 лет рекомендуется начинать тренировки под наблюдением инструктора врачебно-физкультурного диспансера с предварительным проведением пробы с физической нагрузкой.</w:t>
      </w:r>
    </w:p>
    <w:p w:rsidR="00116C57" w:rsidRPr="00116C57" w:rsidRDefault="00116C57" w:rsidP="00116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 старше 40 лет физическую нагрузку рекомендуется назначать с дозированной ходьбы, постепенно увеличивая темп и дистанцию. </w:t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Лицам с ожирением рекомендуются аэробные физические нагрузки - бег, плавание, лыжные прогулки, езда на велосипеде. Однако наиболее приемлемым видом физической активности следует считать ходьбу, которая должна быть регулярной, умеренной интенсивности, ежедневной. Следует начинать с 10 мин в день, постепенно увеличивая продолжительность занятий до 30-40 мин, с включением коротких (10-15 мин) эпизодов быстрой ходьбы. Рекомендуется уделять физическим нагрузкам примерно 60 мин ежедневно. Назначается также быстрая ходьба в течение 30 мин (скорость - 4,5 км/ч) не менее 3 раз в неделю. Кратковременные нагрузки (короткие тренировки) обеспечивают </w:t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расход гликогена, а длительные - запасов жира. Дополнительные физические нагрузки - подниматься лестницей, а не лифтом, совершать пешие 10-15-минутные прогулки после приема пищи. Работа по дому гораздо эффективнее 30-минутных прогулок 6 раз в неделю. </w:t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Эффективность физической нагрузки в отношении уменьшения массы тела возрастает по мере увеличения продолжительности ходьбы в течение дня. </w:t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 самоконтроль нагрузки: она не должна приводить к учащению пульса выше возрастного предела, который определяется как "180 - возраст в годах". Появление одышки служит сигналом для уменьшения интенсивности нагрузки. Тренирующий эффект нагрузки проявляется в снижении частоты пульса в покое, сокращении времени восстановления пульса после стандартной нагрузки (например, 20 приседаний). Ухудшение самочувствия (сна, аппетита, работоспособности, появление неприятных ощущений) требует снижения или прекращения нагрузок. </w:t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Необходимо подчеркнуть, что большинство рекомендуемых профилактических мер носят универсальный характер и показаны не только при ССЗ, но и для целого ряда хронических неинфекционных заболеваний - хронических обструктивных заболеваний легких, некоторых форм злокачественных новообразований, сахарного диабета и др. </w:t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Результаты комплексных профилактических мероприятий определяют социально-экономическую и этическую значимость всей профилактической работы. Дело только за ее реальным осуществлением, активизацией резервов служб практического здравоохранения. И наконец, необходимо создать социальные условия, при которых человеку выгодно (и материально, и морально) быть здоровым. </w:t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6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Современные возможности первичной и вторичной профилактики сердечно-сосудистых заболеваний (ССЗ) - одной из ведущих причин инвалидизации и смертности населения развитых стран - весьма высоки. Развитие теоретической и методологической базы доказательной медицины в течение последних десятилетий обеспечило существенный прогресс в разработке и пропаганде среди врачей и пациентов научно обоснованных подходов к профилактике сердечно-сосудистых заболеваний, а также в оценке ее результатов. Вместе с тем до недавнего времени весьма широко рекомендуемые в качестве лекарственной сердечно-сосудистой профилактики витамины и антиоксиданты после рандомизированных исследований должны неминуемо "сойти со сцены", поскольку их эффективность оказалась равной нулю. </w:t>
      </w:r>
    </w:p>
    <w:p w:rsidR="005220A2" w:rsidRDefault="005220A2" w:rsidP="00FB7C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20A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DB9" w:rsidRDefault="00CE6DB9" w:rsidP="004726FF">
      <w:pPr>
        <w:spacing w:after="0" w:line="240" w:lineRule="auto"/>
      </w:pPr>
      <w:r>
        <w:separator/>
      </w:r>
    </w:p>
  </w:endnote>
  <w:endnote w:type="continuationSeparator" w:id="0">
    <w:p w:rsidR="00CE6DB9" w:rsidRDefault="00CE6DB9" w:rsidP="0047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741396"/>
      <w:docPartObj>
        <w:docPartGallery w:val="Page Numbers (Bottom of Page)"/>
        <w:docPartUnique/>
      </w:docPartObj>
    </w:sdtPr>
    <w:sdtEndPr/>
    <w:sdtContent>
      <w:p w:rsidR="004726FF" w:rsidRDefault="004726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C57">
          <w:rPr>
            <w:noProof/>
          </w:rPr>
          <w:t>1</w:t>
        </w:r>
        <w:r>
          <w:fldChar w:fldCharType="end"/>
        </w:r>
      </w:p>
    </w:sdtContent>
  </w:sdt>
  <w:p w:rsidR="004726FF" w:rsidRDefault="004726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DB9" w:rsidRDefault="00CE6DB9" w:rsidP="004726FF">
      <w:pPr>
        <w:spacing w:after="0" w:line="240" w:lineRule="auto"/>
      </w:pPr>
      <w:r>
        <w:separator/>
      </w:r>
    </w:p>
  </w:footnote>
  <w:footnote w:type="continuationSeparator" w:id="0">
    <w:p w:rsidR="00CE6DB9" w:rsidRDefault="00CE6DB9" w:rsidP="00472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A08"/>
    <w:multiLevelType w:val="multilevel"/>
    <w:tmpl w:val="9618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D7A54"/>
    <w:multiLevelType w:val="multilevel"/>
    <w:tmpl w:val="5EC6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D6CFC"/>
    <w:multiLevelType w:val="multilevel"/>
    <w:tmpl w:val="76A2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F64FF"/>
    <w:multiLevelType w:val="multilevel"/>
    <w:tmpl w:val="BA22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0445A"/>
    <w:multiLevelType w:val="multilevel"/>
    <w:tmpl w:val="FD28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A3531"/>
    <w:multiLevelType w:val="multilevel"/>
    <w:tmpl w:val="C700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E215AE"/>
    <w:multiLevelType w:val="multilevel"/>
    <w:tmpl w:val="D1B6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1019F6"/>
    <w:multiLevelType w:val="multilevel"/>
    <w:tmpl w:val="599C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33751B"/>
    <w:multiLevelType w:val="multilevel"/>
    <w:tmpl w:val="960A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657E31"/>
    <w:multiLevelType w:val="multilevel"/>
    <w:tmpl w:val="C19E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F70918"/>
    <w:multiLevelType w:val="multilevel"/>
    <w:tmpl w:val="FA80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9A6184"/>
    <w:multiLevelType w:val="multilevel"/>
    <w:tmpl w:val="8576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2C2333"/>
    <w:multiLevelType w:val="multilevel"/>
    <w:tmpl w:val="4464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B94343"/>
    <w:multiLevelType w:val="multilevel"/>
    <w:tmpl w:val="55BA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6A4A45"/>
    <w:multiLevelType w:val="multilevel"/>
    <w:tmpl w:val="02AE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CF7A4C"/>
    <w:multiLevelType w:val="multilevel"/>
    <w:tmpl w:val="1056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7869C8"/>
    <w:multiLevelType w:val="multilevel"/>
    <w:tmpl w:val="D822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7E1821"/>
    <w:multiLevelType w:val="multilevel"/>
    <w:tmpl w:val="A8B4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853D72"/>
    <w:multiLevelType w:val="multilevel"/>
    <w:tmpl w:val="0156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DD0EF2"/>
    <w:multiLevelType w:val="multilevel"/>
    <w:tmpl w:val="3566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F62B7C"/>
    <w:multiLevelType w:val="multilevel"/>
    <w:tmpl w:val="E888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D612A2"/>
    <w:multiLevelType w:val="multilevel"/>
    <w:tmpl w:val="10F2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2B15F1"/>
    <w:multiLevelType w:val="multilevel"/>
    <w:tmpl w:val="F128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1116CC"/>
    <w:multiLevelType w:val="multilevel"/>
    <w:tmpl w:val="A324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E70D00"/>
    <w:multiLevelType w:val="multilevel"/>
    <w:tmpl w:val="B794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F64159"/>
    <w:multiLevelType w:val="multilevel"/>
    <w:tmpl w:val="6870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027057"/>
    <w:multiLevelType w:val="multilevel"/>
    <w:tmpl w:val="FAAA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3E1DC2"/>
    <w:multiLevelType w:val="multilevel"/>
    <w:tmpl w:val="97E0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E01A6A"/>
    <w:multiLevelType w:val="multilevel"/>
    <w:tmpl w:val="EF0E6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82414F"/>
    <w:multiLevelType w:val="multilevel"/>
    <w:tmpl w:val="8534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816E7B"/>
    <w:multiLevelType w:val="multilevel"/>
    <w:tmpl w:val="756AF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9F1C46"/>
    <w:multiLevelType w:val="multilevel"/>
    <w:tmpl w:val="A49A3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794F22"/>
    <w:multiLevelType w:val="multilevel"/>
    <w:tmpl w:val="4538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E37731"/>
    <w:multiLevelType w:val="multilevel"/>
    <w:tmpl w:val="C128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9"/>
  </w:num>
  <w:num w:numId="3">
    <w:abstractNumId w:val="33"/>
  </w:num>
  <w:num w:numId="4">
    <w:abstractNumId w:val="8"/>
  </w:num>
  <w:num w:numId="5">
    <w:abstractNumId w:val="10"/>
  </w:num>
  <w:num w:numId="6">
    <w:abstractNumId w:val="0"/>
  </w:num>
  <w:num w:numId="7">
    <w:abstractNumId w:val="19"/>
  </w:num>
  <w:num w:numId="8">
    <w:abstractNumId w:val="16"/>
  </w:num>
  <w:num w:numId="9">
    <w:abstractNumId w:val="28"/>
  </w:num>
  <w:num w:numId="10">
    <w:abstractNumId w:val="26"/>
  </w:num>
  <w:num w:numId="11">
    <w:abstractNumId w:val="9"/>
  </w:num>
  <w:num w:numId="12">
    <w:abstractNumId w:val="31"/>
  </w:num>
  <w:num w:numId="13">
    <w:abstractNumId w:val="7"/>
  </w:num>
  <w:num w:numId="14">
    <w:abstractNumId w:val="18"/>
  </w:num>
  <w:num w:numId="15">
    <w:abstractNumId w:val="20"/>
  </w:num>
  <w:num w:numId="16">
    <w:abstractNumId w:val="32"/>
  </w:num>
  <w:num w:numId="17">
    <w:abstractNumId w:val="30"/>
  </w:num>
  <w:num w:numId="18">
    <w:abstractNumId w:val="11"/>
  </w:num>
  <w:num w:numId="19">
    <w:abstractNumId w:val="27"/>
  </w:num>
  <w:num w:numId="20">
    <w:abstractNumId w:val="2"/>
  </w:num>
  <w:num w:numId="21">
    <w:abstractNumId w:val="1"/>
  </w:num>
  <w:num w:numId="22">
    <w:abstractNumId w:val="22"/>
  </w:num>
  <w:num w:numId="23">
    <w:abstractNumId w:val="15"/>
  </w:num>
  <w:num w:numId="24">
    <w:abstractNumId w:val="12"/>
  </w:num>
  <w:num w:numId="25">
    <w:abstractNumId w:val="17"/>
  </w:num>
  <w:num w:numId="26">
    <w:abstractNumId w:val="25"/>
  </w:num>
  <w:num w:numId="27">
    <w:abstractNumId w:val="3"/>
  </w:num>
  <w:num w:numId="28">
    <w:abstractNumId w:val="21"/>
  </w:num>
  <w:num w:numId="29">
    <w:abstractNumId w:val="6"/>
  </w:num>
  <w:num w:numId="30">
    <w:abstractNumId w:val="5"/>
  </w:num>
  <w:num w:numId="31">
    <w:abstractNumId w:val="23"/>
  </w:num>
  <w:num w:numId="32">
    <w:abstractNumId w:val="24"/>
  </w:num>
  <w:num w:numId="33">
    <w:abstractNumId w:val="4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FF"/>
    <w:rsid w:val="00116C57"/>
    <w:rsid w:val="00262C5C"/>
    <w:rsid w:val="004726FF"/>
    <w:rsid w:val="005220A2"/>
    <w:rsid w:val="005B00CA"/>
    <w:rsid w:val="00756C0D"/>
    <w:rsid w:val="00786EB2"/>
    <w:rsid w:val="00CE6DB9"/>
    <w:rsid w:val="00F276F3"/>
    <w:rsid w:val="00FA1037"/>
    <w:rsid w:val="00FB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6FF"/>
  </w:style>
  <w:style w:type="paragraph" w:styleId="a5">
    <w:name w:val="footer"/>
    <w:basedOn w:val="a"/>
    <w:link w:val="a6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6FF"/>
  </w:style>
  <w:style w:type="paragraph" w:styleId="a7">
    <w:name w:val="Balloon Text"/>
    <w:basedOn w:val="a"/>
    <w:link w:val="a8"/>
    <w:uiPriority w:val="99"/>
    <w:semiHidden/>
    <w:unhideWhenUsed/>
    <w:rsid w:val="00FB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6FF"/>
  </w:style>
  <w:style w:type="paragraph" w:styleId="a5">
    <w:name w:val="footer"/>
    <w:basedOn w:val="a"/>
    <w:link w:val="a6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6FF"/>
  </w:style>
  <w:style w:type="paragraph" w:styleId="a7">
    <w:name w:val="Balloon Text"/>
    <w:basedOn w:val="a"/>
    <w:link w:val="a8"/>
    <w:uiPriority w:val="99"/>
    <w:semiHidden/>
    <w:unhideWhenUsed/>
    <w:rsid w:val="00FB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913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3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3374</Words>
  <Characters>19236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2016-03-02T05:07:00Z</dcterms:created>
  <dcterms:modified xsi:type="dcterms:W3CDTF">2016-03-02T05:07:00Z</dcterms:modified>
</cp:coreProperties>
</file>